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rPr>
          <w:rFonts w:hint="eastAsia" w:ascii="仿宋" w:hAnsi="仿宋" w:eastAsia="仿宋" w:cs="仿宋"/>
          <w:color w:val="auto"/>
          <w:sz w:val="21"/>
          <w:szCs w:val="21"/>
          <w:lang w:eastAsia="zh-CN"/>
        </w:rPr>
      </w:pPr>
      <w:bookmarkStart w:id="0" w:name="_GoBack"/>
      <w:r>
        <w:rPr>
          <w:rFonts w:hint="eastAsia" w:ascii="仿宋" w:hAnsi="仿宋" w:eastAsia="仿宋" w:cs="仿宋"/>
          <w:color w:val="auto"/>
          <w:sz w:val="21"/>
          <w:szCs w:val="21"/>
          <w:lang w:eastAsia="zh-CN"/>
        </w:rPr>
        <w:t>自我评分表格式内容如下：</w:t>
      </w:r>
    </w:p>
    <w:p>
      <w:pPr>
        <w:pStyle w:val="10"/>
        <w:ind w:firstLine="422"/>
        <w:jc w:val="center"/>
        <w:rPr>
          <w:rFonts w:hint="eastAsia" w:ascii="仿宋" w:hAnsi="仿宋" w:eastAsia="仿宋" w:cs="仿宋"/>
          <w:color w:val="auto"/>
          <w:sz w:val="21"/>
          <w:szCs w:val="21"/>
          <w:lang w:eastAsia="zh-CN"/>
        </w:rPr>
      </w:pPr>
      <w:r>
        <w:rPr>
          <w:rFonts w:hint="eastAsia" w:ascii="仿宋" w:hAnsi="仿宋" w:eastAsia="仿宋" w:cs="仿宋"/>
          <w:b/>
          <w:color w:val="auto"/>
          <w:sz w:val="21"/>
          <w:szCs w:val="21"/>
        </w:rPr>
        <w:t>技术方案评审</w:t>
      </w:r>
      <w:r>
        <w:rPr>
          <w:rFonts w:hint="eastAsia" w:ascii="仿宋" w:hAnsi="仿宋" w:eastAsia="仿宋" w:cs="仿宋"/>
          <w:b/>
          <w:color w:val="auto"/>
          <w:sz w:val="21"/>
          <w:szCs w:val="21"/>
          <w:lang w:eastAsia="zh-CN"/>
        </w:rPr>
        <w:t>表</w:t>
      </w:r>
    </w:p>
    <w:tbl>
      <w:tblPr>
        <w:tblStyle w:val="6"/>
        <w:tblW w:w="924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1507"/>
        <w:gridCol w:w="6314"/>
        <w:gridCol w:w="9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6"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ind w:left="-125" w:leftChars="-52" w:right="-120" w:rightChars="-5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序号</w:t>
            </w:r>
          </w:p>
        </w:tc>
        <w:tc>
          <w:tcPr>
            <w:tcW w:w="1507" w:type="dxa"/>
            <w:tcBorders>
              <w:top w:val="single" w:color="auto" w:sz="4" w:space="0"/>
              <w:left w:val="single" w:color="auto" w:sz="4" w:space="0"/>
              <w:bottom w:val="single" w:color="auto" w:sz="4" w:space="0"/>
              <w:right w:val="single" w:color="auto" w:sz="4" w:space="0"/>
            </w:tcBorders>
            <w:noWrap/>
            <w:vAlign w:val="center"/>
          </w:tcPr>
          <w:p>
            <w:pPr>
              <w:widowControl/>
              <w:ind w:left="-125" w:leftChars="-52" w:right="-120" w:rightChars="-5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评审项目</w:t>
            </w:r>
          </w:p>
        </w:tc>
        <w:tc>
          <w:tcPr>
            <w:tcW w:w="631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 w:hAnsi="仿宋" w:eastAsia="仿宋" w:cs="仿宋"/>
                <w:color w:val="auto"/>
                <w:sz w:val="21"/>
                <w:szCs w:val="21"/>
              </w:rPr>
            </w:pPr>
            <w:r>
              <w:rPr>
                <w:rFonts w:hint="eastAsia" w:ascii="仿宋" w:hAnsi="仿宋" w:eastAsia="仿宋" w:cs="仿宋"/>
                <w:color w:val="auto"/>
                <w:sz w:val="21"/>
                <w:szCs w:val="21"/>
              </w:rPr>
              <w:t>各评分因素细分项</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索引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6"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1</w:t>
            </w:r>
          </w:p>
        </w:tc>
        <w:tc>
          <w:tcPr>
            <w:tcW w:w="1507"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变电站主要技术方案</w:t>
            </w:r>
          </w:p>
        </w:tc>
        <w:tc>
          <w:tcPr>
            <w:tcW w:w="6314" w:type="dxa"/>
            <w:tcBorders>
              <w:top w:val="single" w:color="auto" w:sz="4" w:space="0"/>
              <w:left w:val="single" w:color="auto" w:sz="4" w:space="0"/>
              <w:bottom w:val="single" w:color="auto" w:sz="4" w:space="0"/>
              <w:right w:val="single" w:color="auto" w:sz="4" w:space="0"/>
            </w:tcBorders>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总平面布置及主接线方案合理；总平面布置及主接线方案合理；主要电气设备选择合理；主要建、构筑物技术方案合理；计算机监控系统及二次设备布置合理；根据气象条件及周围环境合理选择给排水、通风、采暖、消防等方面的方案内容。优计18-20分，良计14-16分，一般计10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5"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2</w:t>
            </w:r>
          </w:p>
        </w:tc>
        <w:tc>
          <w:tcPr>
            <w:tcW w:w="1507" w:type="dxa"/>
            <w:tcBorders>
              <w:top w:val="single" w:color="auto" w:sz="4" w:space="0"/>
              <w:left w:val="single" w:color="auto" w:sz="4" w:space="0"/>
              <w:bottom w:val="single" w:color="auto" w:sz="4" w:space="0"/>
              <w:right w:val="single" w:color="auto" w:sz="4" w:space="0"/>
            </w:tcBorders>
            <w:noWrap/>
            <w:vAlign w:val="center"/>
          </w:tcPr>
          <w:p>
            <w:pPr>
              <w:pStyle w:val="11"/>
              <w:jc w:val="center"/>
              <w:rPr>
                <w:rFonts w:hint="eastAsia" w:ascii="仿宋" w:hAnsi="仿宋" w:eastAsia="仿宋" w:cs="仿宋"/>
                <w:sz w:val="21"/>
                <w:szCs w:val="21"/>
              </w:rPr>
            </w:pPr>
            <w:r>
              <w:rPr>
                <w:rFonts w:hint="eastAsia" w:ascii="仿宋" w:hAnsi="仿宋" w:eastAsia="仿宋" w:cs="仿宋"/>
                <w:sz w:val="21"/>
                <w:szCs w:val="21"/>
              </w:rPr>
              <w:t>输电线路路径方案及基础设计</w:t>
            </w:r>
          </w:p>
        </w:tc>
        <w:tc>
          <w:tcPr>
            <w:tcW w:w="6314"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包含但不限于路径规划、材料选型及与工程条件、环境的适应性分析；基础选型、基面处理及与工程条件、环境的适应性分析。优计9-10分，良计6-7分，一般计3分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3</w:t>
            </w:r>
          </w:p>
        </w:tc>
        <w:tc>
          <w:tcPr>
            <w:tcW w:w="1507"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rPr>
            </w:pPr>
            <w:r>
              <w:rPr>
                <w:rFonts w:hint="eastAsia" w:ascii="仿宋" w:hAnsi="仿宋" w:eastAsia="仿宋" w:cs="仿宋"/>
                <w:color w:val="auto"/>
                <w:sz w:val="21"/>
                <w:szCs w:val="21"/>
              </w:rPr>
              <w:t>变电站主要技术指标</w:t>
            </w:r>
          </w:p>
        </w:tc>
        <w:tc>
          <w:tcPr>
            <w:tcW w:w="6314"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各项指标与工程条件、表述一致，先进、可靠计5-6 分，可行计3-4分，一般计2分。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4</w:t>
            </w:r>
          </w:p>
        </w:tc>
        <w:tc>
          <w:tcPr>
            <w:tcW w:w="1507"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配套办公场所规划与设计</w:t>
            </w:r>
          </w:p>
        </w:tc>
        <w:tc>
          <w:tcPr>
            <w:tcW w:w="6314" w:type="dxa"/>
            <w:tcBorders>
              <w:top w:val="single" w:color="auto" w:sz="4" w:space="0"/>
              <w:left w:val="single" w:color="auto" w:sz="4" w:space="0"/>
              <w:bottom w:val="single" w:color="auto" w:sz="4" w:space="0"/>
              <w:right w:val="single" w:color="auto" w:sz="4" w:space="0"/>
            </w:tcBorders>
            <w:noWrap/>
            <w:vAlign w:val="center"/>
          </w:tcPr>
          <w:p>
            <w:pPr>
              <w:pStyle w:val="11"/>
              <w:rPr>
                <w:rFonts w:hint="eastAsia" w:ascii="仿宋" w:hAnsi="仿宋" w:eastAsia="仿宋" w:cs="仿宋"/>
                <w:sz w:val="21"/>
                <w:szCs w:val="21"/>
              </w:rPr>
            </w:pPr>
            <w:r>
              <w:rPr>
                <w:rFonts w:hint="eastAsia" w:ascii="仿宋" w:hAnsi="仿宋" w:eastAsia="仿宋" w:cs="仿宋"/>
                <w:spacing w:val="19"/>
                <w:sz w:val="21"/>
                <w:szCs w:val="21"/>
              </w:rPr>
              <w:t>建筑规划设计方案能充分满足场地条件</w:t>
            </w:r>
            <w:r>
              <w:rPr>
                <w:rFonts w:hint="eastAsia" w:ascii="仿宋" w:hAnsi="仿宋" w:eastAsia="仿宋" w:cs="仿宋"/>
                <w:sz w:val="21"/>
                <w:szCs w:val="21"/>
              </w:rPr>
              <w:t>、功能需求及规划体系和规划条件。优计5-6分，良计3-4分，一般计2分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5</w:t>
            </w:r>
          </w:p>
        </w:tc>
        <w:tc>
          <w:tcPr>
            <w:tcW w:w="1507"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rPr>
            </w:pPr>
            <w:r>
              <w:rPr>
                <w:rFonts w:hint="eastAsia" w:ascii="仿宋" w:hAnsi="仿宋" w:eastAsia="仿宋" w:cs="仿宋"/>
                <w:color w:val="auto"/>
                <w:sz w:val="21"/>
                <w:szCs w:val="21"/>
              </w:rPr>
              <w:t>施工图设计方案</w:t>
            </w:r>
          </w:p>
        </w:tc>
        <w:tc>
          <w:tcPr>
            <w:tcW w:w="6314"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满足工程基本要求，得 10分；对初步设计文件优化建议合理科学的，每条计1分，最多计5分。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6</w:t>
            </w:r>
          </w:p>
        </w:tc>
        <w:tc>
          <w:tcPr>
            <w:tcW w:w="1507"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施工方案、部署与技术措施</w:t>
            </w:r>
          </w:p>
        </w:tc>
        <w:tc>
          <w:tcPr>
            <w:tcW w:w="6314" w:type="dxa"/>
            <w:tcBorders>
              <w:top w:val="single" w:color="auto" w:sz="4" w:space="0"/>
              <w:left w:val="single" w:color="auto" w:sz="4" w:space="0"/>
              <w:bottom w:val="single" w:color="auto" w:sz="4" w:space="0"/>
              <w:right w:val="single" w:color="auto" w:sz="4" w:space="0"/>
            </w:tcBorders>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先进、可靠计13-15分，可行计9-11分，欠合理计6分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1"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7</w:t>
            </w:r>
          </w:p>
        </w:tc>
        <w:tc>
          <w:tcPr>
            <w:tcW w:w="1507"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rPr>
            </w:pPr>
            <w:r>
              <w:rPr>
                <w:rFonts w:hint="eastAsia" w:ascii="仿宋" w:hAnsi="仿宋" w:eastAsia="仿宋" w:cs="仿宋"/>
                <w:color w:val="auto"/>
                <w:sz w:val="21"/>
                <w:szCs w:val="21"/>
              </w:rPr>
              <w:t>项目组织</w:t>
            </w:r>
          </w:p>
        </w:tc>
        <w:tc>
          <w:tcPr>
            <w:tcW w:w="6314" w:type="dxa"/>
            <w:tcBorders>
              <w:top w:val="single" w:color="auto" w:sz="4" w:space="0"/>
              <w:left w:val="single" w:color="auto" w:sz="4" w:space="0"/>
              <w:bottom w:val="single" w:color="auto" w:sz="4" w:space="0"/>
              <w:right w:val="single" w:color="auto" w:sz="4" w:space="0"/>
            </w:tcBorders>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对项目技术和资料准备、项目力量配置、项目机械选择、需求计划；材料需求计划、物资管理以及工程成本的控制措施完整、科学、合理。优计5-6分，良计3-4分，一般计2分。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8</w:t>
            </w:r>
          </w:p>
        </w:tc>
        <w:tc>
          <w:tcPr>
            <w:tcW w:w="1507"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rPr>
            </w:pPr>
            <w:r>
              <w:rPr>
                <w:rFonts w:hint="eastAsia" w:ascii="仿宋" w:hAnsi="仿宋" w:eastAsia="仿宋" w:cs="仿宋"/>
                <w:color w:val="auto"/>
                <w:sz w:val="21"/>
                <w:szCs w:val="21"/>
              </w:rPr>
              <w:t>项目实施</w:t>
            </w:r>
          </w:p>
        </w:tc>
        <w:tc>
          <w:tcPr>
            <w:tcW w:w="6314" w:type="dxa"/>
            <w:tcBorders>
              <w:top w:val="single" w:color="auto" w:sz="4" w:space="0"/>
              <w:left w:val="single" w:color="auto" w:sz="4" w:space="0"/>
              <w:bottom w:val="single" w:color="auto" w:sz="4" w:space="0"/>
              <w:right w:val="single" w:color="auto" w:sz="4" w:space="0"/>
            </w:tcBorders>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满足工程基本要求，得 2分；切实可行且合理科学的每条计1分，最多计2分。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9</w:t>
            </w:r>
          </w:p>
        </w:tc>
        <w:tc>
          <w:tcPr>
            <w:tcW w:w="1507" w:type="dxa"/>
            <w:tcBorders>
              <w:top w:val="single" w:color="auto" w:sz="4" w:space="0"/>
              <w:left w:val="single" w:color="auto" w:sz="4" w:space="0"/>
              <w:bottom w:val="single" w:color="auto" w:sz="4" w:space="0"/>
              <w:right w:val="single" w:color="auto" w:sz="4" w:space="0"/>
            </w:tcBorders>
            <w:noWrap/>
            <w:vAlign w:val="center"/>
          </w:tcPr>
          <w:p>
            <w:pPr>
              <w:pStyle w:val="11"/>
              <w:jc w:val="center"/>
              <w:rPr>
                <w:rFonts w:hint="eastAsia" w:ascii="仿宋" w:hAnsi="仿宋" w:eastAsia="仿宋" w:cs="仿宋"/>
                <w:sz w:val="21"/>
                <w:szCs w:val="21"/>
              </w:rPr>
            </w:pPr>
            <w:r>
              <w:rPr>
                <w:rFonts w:hint="eastAsia" w:ascii="仿宋" w:hAnsi="仿宋" w:eastAsia="仿宋" w:cs="仿宋"/>
                <w:sz w:val="21"/>
                <w:szCs w:val="21"/>
              </w:rPr>
              <w:t>项目安全管理</w:t>
            </w:r>
          </w:p>
        </w:tc>
        <w:tc>
          <w:tcPr>
            <w:tcW w:w="6314" w:type="dxa"/>
            <w:tcBorders>
              <w:top w:val="single" w:color="auto" w:sz="4" w:space="0"/>
              <w:left w:val="single" w:color="auto" w:sz="4" w:space="0"/>
              <w:bottom w:val="single" w:color="auto" w:sz="4" w:space="0"/>
              <w:right w:val="single" w:color="auto" w:sz="4" w:space="0"/>
            </w:tcBorders>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对安全目标承诺、安全组织机构及职责、管理制度、安全组织技术措施、实施方案、考核办法、管理方法、重要施工方案及特殊施工工序的安全过程控制全面、有效，并提交有智慧工地管控方案；优计5-6分，良计3-4分，一般计2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bCs/>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0"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10</w:t>
            </w:r>
          </w:p>
        </w:tc>
        <w:tc>
          <w:tcPr>
            <w:tcW w:w="1507" w:type="dxa"/>
            <w:tcBorders>
              <w:top w:val="single" w:color="auto" w:sz="4" w:space="0"/>
              <w:left w:val="single" w:color="auto" w:sz="4" w:space="0"/>
              <w:bottom w:val="single" w:color="auto" w:sz="4" w:space="0"/>
              <w:right w:val="single" w:color="auto" w:sz="4" w:space="0"/>
            </w:tcBorders>
            <w:noWrap/>
            <w:vAlign w:val="center"/>
          </w:tcPr>
          <w:p>
            <w:pPr>
              <w:pStyle w:val="11"/>
              <w:jc w:val="center"/>
              <w:rPr>
                <w:rFonts w:hint="eastAsia" w:ascii="仿宋" w:hAnsi="仿宋" w:eastAsia="仿宋" w:cs="仿宋"/>
                <w:sz w:val="21"/>
                <w:szCs w:val="21"/>
              </w:rPr>
            </w:pPr>
            <w:r>
              <w:rPr>
                <w:rFonts w:hint="eastAsia" w:ascii="仿宋" w:hAnsi="仿宋" w:eastAsia="仿宋" w:cs="仿宋"/>
                <w:sz w:val="21"/>
                <w:szCs w:val="21"/>
              </w:rPr>
              <w:t>质量保证措施</w:t>
            </w:r>
          </w:p>
        </w:tc>
        <w:tc>
          <w:tcPr>
            <w:tcW w:w="6314" w:type="dxa"/>
            <w:tcBorders>
              <w:top w:val="single" w:color="auto" w:sz="4" w:space="0"/>
              <w:left w:val="single" w:color="auto" w:sz="4" w:space="0"/>
              <w:bottom w:val="single" w:color="auto" w:sz="4" w:space="0"/>
              <w:right w:val="single" w:color="auto" w:sz="4" w:space="0"/>
            </w:tcBorders>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包含但不限于管理措施、质量体系及管理方针、质量检验标准、质量保修承诺、质量保证技术等措施进行合理分析。优计5-6分，良计3-4分，一般计2分。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11</w:t>
            </w:r>
          </w:p>
        </w:tc>
        <w:tc>
          <w:tcPr>
            <w:tcW w:w="1507" w:type="dxa"/>
            <w:tcBorders>
              <w:top w:val="single" w:color="auto" w:sz="4" w:space="0"/>
              <w:left w:val="single" w:color="auto" w:sz="4" w:space="0"/>
              <w:bottom w:val="single" w:color="auto" w:sz="4" w:space="0"/>
              <w:right w:val="single" w:color="auto" w:sz="4" w:space="0"/>
            </w:tcBorders>
            <w:noWrap/>
            <w:vAlign w:val="center"/>
          </w:tcPr>
          <w:p>
            <w:pPr>
              <w:pStyle w:val="11"/>
              <w:jc w:val="center"/>
              <w:rPr>
                <w:rFonts w:hint="eastAsia" w:ascii="仿宋" w:hAnsi="仿宋" w:eastAsia="仿宋" w:cs="仿宋"/>
                <w:sz w:val="21"/>
                <w:szCs w:val="21"/>
              </w:rPr>
            </w:pPr>
            <w:r>
              <w:rPr>
                <w:rFonts w:hint="eastAsia" w:ascii="仿宋" w:hAnsi="仿宋" w:eastAsia="仿宋" w:cs="仿宋"/>
                <w:sz w:val="21"/>
                <w:szCs w:val="21"/>
              </w:rPr>
              <w:t>项目进度计划</w:t>
            </w:r>
          </w:p>
        </w:tc>
        <w:tc>
          <w:tcPr>
            <w:tcW w:w="6314" w:type="dxa"/>
            <w:tcBorders>
              <w:top w:val="single" w:color="auto" w:sz="4" w:space="0"/>
              <w:left w:val="single" w:color="auto" w:sz="4" w:space="0"/>
              <w:bottom w:val="single" w:color="auto" w:sz="4" w:space="0"/>
              <w:right w:val="single" w:color="auto" w:sz="4" w:space="0"/>
            </w:tcBorders>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对项目总进度安排及计划横道图，进度保证措施、主要施工设备及材料供应等计划，安排详细、合理。优计5-6分，良计3-4分，一般计2分。</w:t>
            </w:r>
          </w:p>
        </w:tc>
        <w:tc>
          <w:tcPr>
            <w:tcW w:w="994"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hint="eastAsia" w:ascii="仿宋" w:hAnsi="仿宋" w:eastAsia="仿宋" w:cs="仿宋"/>
                <w:color w:val="auto"/>
                <w:sz w:val="21"/>
                <w:szCs w:val="21"/>
                <w:lang w:eastAsia="zh-CN"/>
              </w:rPr>
            </w:pPr>
          </w:p>
        </w:tc>
      </w:tr>
    </w:tbl>
    <w:p>
      <w:pPr>
        <w:spacing w:beforeLines="50" w:afterLines="50"/>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备注：技术方案评审无需自我评分，填写索引信息（页码）即可。</w:t>
      </w:r>
    </w:p>
    <w:p>
      <w:pPr>
        <w:spacing w:line="400" w:lineRule="exact"/>
        <w:jc w:val="center"/>
        <w:rPr>
          <w:rFonts w:hint="eastAsia" w:ascii="仿宋" w:hAnsi="仿宋" w:eastAsia="仿宋" w:cs="仿宋"/>
          <w:color w:val="auto"/>
          <w:sz w:val="21"/>
          <w:szCs w:val="21"/>
        </w:rPr>
      </w:pPr>
      <w:r>
        <w:rPr>
          <w:rFonts w:hint="eastAsia" w:ascii="仿宋" w:hAnsi="仿宋" w:eastAsia="仿宋" w:cs="仿宋"/>
          <w:b/>
          <w:color w:val="auto"/>
          <w:sz w:val="21"/>
          <w:szCs w:val="21"/>
          <w:lang w:eastAsia="zh-CN"/>
        </w:rPr>
        <w:t>商务评审表</w:t>
      </w:r>
    </w:p>
    <w:tbl>
      <w:tblPr>
        <w:tblStyle w:val="6"/>
        <w:tblW w:w="929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3"/>
        <w:gridCol w:w="2333"/>
        <w:gridCol w:w="4854"/>
        <w:gridCol w:w="818"/>
        <w:gridCol w:w="7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ind w:left="-125" w:leftChars="-52" w:right="-120" w:rightChars="-5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序号</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widowControl/>
              <w:ind w:left="-125" w:leftChars="-52" w:right="-120" w:rightChars="-5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评审项</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widowControl/>
              <w:jc w:val="center"/>
              <w:rPr>
                <w:rFonts w:hint="eastAsia" w:ascii="仿宋" w:hAnsi="仿宋" w:eastAsia="仿宋" w:cs="仿宋"/>
                <w:color w:val="auto"/>
                <w:sz w:val="21"/>
                <w:szCs w:val="21"/>
              </w:rPr>
            </w:pPr>
            <w:r>
              <w:rPr>
                <w:rFonts w:hint="eastAsia" w:ascii="仿宋" w:hAnsi="仿宋" w:eastAsia="仿宋" w:cs="仿宋"/>
                <w:color w:val="auto"/>
                <w:sz w:val="21"/>
                <w:szCs w:val="21"/>
              </w:rPr>
              <w:t>各评分因素细分项</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自我评分</w:t>
            </w: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索引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40" w:lineRule="exact"/>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1</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widowControl/>
              <w:ind w:left="-125" w:leftChars="-52" w:right="-120" w:rightChars="-5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项目负责人</w:t>
            </w:r>
          </w:p>
          <w:p>
            <w:pPr>
              <w:widowControl/>
              <w:ind w:left="-125" w:leftChars="-52" w:right="-120" w:rightChars="-5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业绩</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2"/>
              <w:rPr>
                <w:rFonts w:hint="eastAsia" w:ascii="仿宋" w:hAnsi="仿宋" w:eastAsia="仿宋" w:cs="仿宋"/>
                <w:sz w:val="21"/>
                <w:szCs w:val="21"/>
              </w:rPr>
            </w:pPr>
            <w:r>
              <w:rPr>
                <w:rFonts w:hint="eastAsia" w:ascii="仿宋" w:hAnsi="仿宋" w:eastAsia="仿宋" w:cs="仿宋"/>
                <w:sz w:val="21"/>
                <w:szCs w:val="21"/>
              </w:rPr>
              <w:t>2015年以来</w:t>
            </w:r>
            <w:r>
              <w:rPr>
                <w:rFonts w:hint="eastAsia" w:ascii="仿宋" w:hAnsi="仿宋" w:eastAsia="仿宋" w:cs="仿宋"/>
                <w:spacing w:val="33"/>
                <w:sz w:val="21"/>
                <w:szCs w:val="21"/>
              </w:rPr>
              <w:t>已完工110KV及以上变</w:t>
            </w:r>
            <w:r>
              <w:rPr>
                <w:rFonts w:hint="eastAsia" w:ascii="仿宋" w:hAnsi="仿宋" w:eastAsia="仿宋" w:cs="仿宋"/>
                <w:sz w:val="21"/>
                <w:szCs w:val="21"/>
              </w:rPr>
              <w:t>电或输变电EPC总承包项目负责人业绩。每个计10分，最多20分，提供合同协议书（或中标通知书）、客户满意度资料（客户满意度调查表或业主反馈表或表扬信等资料）以及竣工资料等证明文件，以上资料若不能体现项目负责人信息的须附建设单位证明材料，以上资料须提供原件及复印件，否则不计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8"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2</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jc w:val="center"/>
              <w:rPr>
                <w:rFonts w:hint="eastAsia" w:ascii="仿宋" w:hAnsi="仿宋" w:eastAsia="仿宋" w:cs="仿宋"/>
                <w:sz w:val="21"/>
                <w:szCs w:val="21"/>
              </w:rPr>
            </w:pPr>
            <w:r>
              <w:rPr>
                <w:rFonts w:hint="eastAsia" w:ascii="仿宋" w:hAnsi="仿宋" w:eastAsia="仿宋" w:cs="仿宋"/>
                <w:sz w:val="21"/>
                <w:szCs w:val="21"/>
              </w:rPr>
              <w:t>设计负责人业绩</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2015年以来已完工110KV及以上变电或输变电设计或EPC总承包中的设计项目设计负责人业绩。每个计5分，最多10分，提供初步设计批复或初步设计备案表或初步设计审查技术性文件或施工图审查报告（提供复印件或扫描件） 、客户满意度资料（客户满意度调查表或业主反馈表或表扬信等资料，提供原件及复印件），如以上资料中不能体现设计负责人信息的须附建设单位证明材料（提供原件及复印件），否则不计分。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3</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widowControl/>
              <w:ind w:left="-125" w:leftChars="-52" w:right="-120" w:rightChars="-50"/>
              <w:jc w:val="center"/>
              <w:rPr>
                <w:rFonts w:hint="eastAsia" w:ascii="仿宋" w:hAnsi="仿宋" w:eastAsia="仿宋" w:cs="仿宋"/>
                <w:color w:val="auto"/>
                <w:sz w:val="21"/>
                <w:szCs w:val="21"/>
              </w:rPr>
            </w:pPr>
            <w:r>
              <w:rPr>
                <w:rFonts w:hint="eastAsia" w:ascii="仿宋" w:hAnsi="仿宋" w:eastAsia="仿宋" w:cs="仿宋"/>
                <w:color w:val="auto"/>
                <w:sz w:val="21"/>
                <w:szCs w:val="21"/>
              </w:rPr>
              <w:t>施工负责人业绩</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pacing w:val="26"/>
                <w:sz w:val="21"/>
                <w:szCs w:val="21"/>
              </w:rPr>
              <w:t>2015以来承担过110千伏及以</w:t>
            </w:r>
            <w:r>
              <w:rPr>
                <w:rFonts w:hint="eastAsia" w:ascii="仿宋" w:hAnsi="仿宋" w:eastAsia="仿宋" w:cs="仿宋"/>
                <w:sz w:val="21"/>
                <w:szCs w:val="21"/>
              </w:rPr>
              <w:t>上变电或输变电施工或EPC总承包中的施工项目施工负责人业绩，每个计5分，最多10分（提供合同协议书（或中标通知书）、客户满意度资料（客户满意度调查表或业主反馈表或表扬信等资料）以及竣工资料等证明文件，以上资料若不能体现施工负责人信息的须附建设单位证明材料，以上资料须提供原件及复印件，否则不计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kern w:val="2"/>
                <w:sz w:val="21"/>
                <w:szCs w:val="21"/>
                <w:lang w:eastAsia="zh-CN" w:bidi="ar-SA"/>
              </w:rPr>
            </w:pPr>
            <w:r>
              <w:rPr>
                <w:rFonts w:hint="eastAsia" w:ascii="仿宋" w:hAnsi="仿宋" w:eastAsia="仿宋" w:cs="仿宋"/>
                <w:color w:val="auto"/>
                <w:sz w:val="21"/>
                <w:szCs w:val="21"/>
                <w:lang w:eastAsia="zh-CN"/>
              </w:rPr>
              <w:t>4</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kern w:val="2"/>
                <w:sz w:val="21"/>
                <w:szCs w:val="21"/>
                <w:lang w:eastAsia="zh-CN" w:bidi="ar-SA"/>
              </w:rPr>
            </w:pPr>
            <w:r>
              <w:rPr>
                <w:rFonts w:hint="eastAsia" w:ascii="仿宋" w:hAnsi="仿宋" w:eastAsia="仿宋" w:cs="仿宋"/>
                <w:color w:val="auto"/>
                <w:sz w:val="21"/>
                <w:szCs w:val="21"/>
                <w:lang w:eastAsia="zh-CN"/>
              </w:rPr>
              <w:t>企业业绩</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1.2015年以来具有 110kV 及以上变电或输变电项目EPC总承包业绩，每个计5分，最多计10分，提供合同协议书（或中标通知书）、客户满意度资料（客户满意度调查表或业主反馈表或表扬信等资料）以及竣工资料等证明文件，以上资料须提供原件及复印件，否则不计分。</w:t>
            </w:r>
          </w:p>
          <w:p>
            <w:pPr>
              <w:pStyle w:val="11"/>
              <w:rPr>
                <w:rFonts w:hint="eastAsia" w:ascii="仿宋" w:hAnsi="仿宋" w:eastAsia="仿宋" w:cs="仿宋"/>
                <w:sz w:val="21"/>
                <w:szCs w:val="21"/>
              </w:rPr>
            </w:pPr>
            <w:r>
              <w:rPr>
                <w:rFonts w:hint="eastAsia" w:ascii="仿宋" w:hAnsi="仿宋" w:eastAsia="仿宋" w:cs="仿宋"/>
                <w:sz w:val="21"/>
                <w:szCs w:val="21"/>
              </w:rPr>
              <w:t>2.2015年以来具有110kV 及以上变电或输变电项目设计或EPC总承包中设计业绩，每个计5分，最多计20分。提供初步设计批复或初步设计备案表或初步设计审查技术性文件或施工图审查报告（提供复印件或扫描件） 、客户满意度资料（客户满意度调查表或业主反馈表或表扬信等资料，提供原件及复印件），否则不计分。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kern w:val="2"/>
                <w:sz w:val="21"/>
                <w:szCs w:val="21"/>
                <w:lang w:eastAsia="zh-CN" w:bidi="ar-SA"/>
              </w:rPr>
            </w:pPr>
            <w:r>
              <w:rPr>
                <w:rFonts w:hint="eastAsia" w:ascii="仿宋" w:hAnsi="仿宋" w:eastAsia="仿宋" w:cs="仿宋"/>
                <w:color w:val="auto"/>
                <w:kern w:val="2"/>
                <w:sz w:val="21"/>
                <w:szCs w:val="21"/>
                <w:lang w:eastAsia="zh-CN" w:bidi="ar-SA"/>
              </w:rPr>
              <w:t>5</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widowControl/>
              <w:ind w:left="-125" w:leftChars="-52" w:right="-120" w:rightChars="-50"/>
              <w:jc w:val="center"/>
              <w:rPr>
                <w:rFonts w:hint="eastAsia" w:ascii="仿宋" w:hAnsi="仿宋" w:eastAsia="仿宋" w:cs="仿宋"/>
                <w:color w:val="auto"/>
                <w:kern w:val="2"/>
                <w:sz w:val="21"/>
                <w:szCs w:val="21"/>
                <w:lang w:eastAsia="zh-CN" w:bidi="ar-SA"/>
              </w:rPr>
            </w:pPr>
            <w:r>
              <w:rPr>
                <w:rFonts w:hint="eastAsia" w:ascii="仿宋" w:hAnsi="仿宋" w:eastAsia="仿宋" w:cs="仿宋"/>
                <w:color w:val="auto"/>
                <w:kern w:val="2"/>
                <w:sz w:val="21"/>
                <w:szCs w:val="21"/>
                <w:lang w:eastAsia="zh-CN" w:bidi="ar-SA"/>
              </w:rPr>
              <w:t>财务能力</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kern w:val="2"/>
                <w:sz w:val="21"/>
                <w:szCs w:val="21"/>
                <w:lang w:eastAsia="zh-CN" w:bidi="ar-SA"/>
              </w:rPr>
            </w:pPr>
            <w:r>
              <w:rPr>
                <w:rFonts w:hint="eastAsia" w:ascii="仿宋" w:hAnsi="仿宋" w:eastAsia="仿宋" w:cs="仿宋"/>
                <w:color w:val="auto"/>
                <w:kern w:val="2"/>
                <w:sz w:val="21"/>
                <w:szCs w:val="21"/>
                <w:lang w:eastAsia="zh-CN" w:bidi="ar-SA"/>
              </w:rPr>
              <w:t>1、在满足资格审查条件（财务最低要求）的基础上，投标人在 2019年末或2020年末的净资产每增加 10000 万元，加 1分，最多加5 分；</w:t>
            </w:r>
          </w:p>
          <w:p>
            <w:pPr>
              <w:spacing w:line="260" w:lineRule="exact"/>
              <w:rPr>
                <w:rFonts w:hint="eastAsia" w:ascii="仿宋" w:hAnsi="仿宋" w:eastAsia="仿宋" w:cs="仿宋"/>
                <w:color w:val="auto"/>
                <w:kern w:val="2"/>
                <w:sz w:val="21"/>
                <w:szCs w:val="21"/>
                <w:lang w:eastAsia="zh-CN" w:bidi="ar-SA"/>
              </w:rPr>
            </w:pPr>
            <w:r>
              <w:rPr>
                <w:rFonts w:hint="eastAsia" w:ascii="仿宋" w:hAnsi="仿宋" w:eastAsia="仿宋" w:cs="仿宋"/>
                <w:color w:val="auto"/>
                <w:kern w:val="2"/>
                <w:sz w:val="21"/>
                <w:szCs w:val="21"/>
                <w:lang w:eastAsia="zh-CN" w:bidi="ar-SA"/>
              </w:rPr>
              <w:t>2、在满足资格审查条件（财务最低要求）的基础上，投标人在 2017年-2020年任意连续三年的平均营业额每增加 10000万元，加1分，最多加5分。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9"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kern w:val="2"/>
                <w:sz w:val="21"/>
                <w:szCs w:val="21"/>
                <w:lang w:eastAsia="zh-CN" w:bidi="ar-SA"/>
              </w:rPr>
            </w:pPr>
            <w:r>
              <w:rPr>
                <w:rFonts w:hint="eastAsia" w:ascii="仿宋" w:hAnsi="仿宋" w:eastAsia="仿宋" w:cs="仿宋"/>
                <w:color w:val="auto"/>
                <w:sz w:val="21"/>
                <w:szCs w:val="21"/>
                <w:lang w:eastAsia="zh-CN"/>
              </w:rPr>
              <w:t>6</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widowControl/>
              <w:ind w:left="-125" w:leftChars="-52" w:right="-120" w:rightChars="-50"/>
              <w:rPr>
                <w:rFonts w:hint="eastAsia" w:ascii="仿宋" w:hAnsi="仿宋" w:eastAsia="仿宋" w:cs="仿宋"/>
                <w:color w:val="auto"/>
                <w:kern w:val="2"/>
                <w:sz w:val="21"/>
                <w:szCs w:val="21"/>
                <w:lang w:eastAsia="zh-CN" w:bidi="ar-SA"/>
              </w:rPr>
            </w:pPr>
            <w:r>
              <w:rPr>
                <w:rFonts w:hint="eastAsia" w:ascii="仿宋" w:hAnsi="仿宋" w:eastAsia="仿宋" w:cs="仿宋"/>
                <w:color w:val="auto"/>
                <w:sz w:val="21"/>
                <w:szCs w:val="21"/>
                <w:lang w:eastAsia="zh-CN"/>
              </w:rPr>
              <w:t>投标截止时间前1080天内获得国家级电力行业奖项的（国家优质工程金奖、建设工程鲁班奖）</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kern w:val="2"/>
                <w:sz w:val="21"/>
                <w:szCs w:val="21"/>
                <w:lang w:eastAsia="zh-CN" w:bidi="ar-SA"/>
              </w:rPr>
            </w:pPr>
            <w:r>
              <w:rPr>
                <w:rFonts w:hint="eastAsia" w:ascii="仿宋" w:hAnsi="仿宋" w:eastAsia="仿宋" w:cs="仿宋"/>
                <w:color w:val="auto"/>
                <w:sz w:val="21"/>
                <w:szCs w:val="21"/>
              </w:rPr>
              <w:t xml:space="preserve">每项加 </w:t>
            </w:r>
            <w:r>
              <w:rPr>
                <w:rFonts w:hint="eastAsia" w:ascii="仿宋" w:hAnsi="仿宋" w:eastAsia="仿宋" w:cs="仿宋"/>
                <w:color w:val="auto"/>
                <w:sz w:val="21"/>
                <w:szCs w:val="21"/>
                <w:lang w:eastAsia="zh-CN"/>
              </w:rPr>
              <w:t>4</w:t>
            </w:r>
            <w:r>
              <w:rPr>
                <w:rFonts w:hint="eastAsia" w:ascii="仿宋" w:hAnsi="仿宋" w:eastAsia="仿宋" w:cs="仿宋"/>
                <w:color w:val="auto"/>
                <w:sz w:val="21"/>
                <w:szCs w:val="21"/>
              </w:rPr>
              <w:t>分，最多加 8分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kern w:val="2"/>
                <w:sz w:val="21"/>
                <w:szCs w:val="21"/>
                <w:lang w:eastAsia="zh-CN" w:bidi="ar-SA"/>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kern w:val="2"/>
                <w:sz w:val="21"/>
                <w:szCs w:val="21"/>
                <w:lang w:eastAsia="zh-CN" w:bidi="ar-SA"/>
              </w:rPr>
            </w:pPr>
            <w:r>
              <w:rPr>
                <w:rFonts w:hint="eastAsia" w:ascii="仿宋" w:hAnsi="仿宋" w:eastAsia="仿宋" w:cs="仿宋"/>
                <w:color w:val="auto"/>
                <w:sz w:val="21"/>
                <w:szCs w:val="21"/>
                <w:lang w:eastAsia="zh-CN"/>
              </w:rPr>
              <w:t>7</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投标截止时间前360天内获得省级科学技术进步奖的</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每项加 2 分，最多加 4 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kern w:val="2"/>
                <w:sz w:val="21"/>
                <w:szCs w:val="21"/>
                <w:lang w:eastAsia="zh-CN" w:bidi="ar-SA"/>
              </w:rPr>
            </w:pPr>
            <w:r>
              <w:rPr>
                <w:rFonts w:hint="eastAsia" w:ascii="仿宋" w:hAnsi="仿宋" w:eastAsia="仿宋" w:cs="仿宋"/>
                <w:color w:val="auto"/>
                <w:sz w:val="21"/>
                <w:szCs w:val="21"/>
                <w:lang w:eastAsia="zh-CN"/>
              </w:rPr>
              <w:t>8</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主编或参编过国家标准、行业或地方（指省级）标准的</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每项加 2 分，最多加 6 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5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jc w:val="center"/>
              <w:rPr>
                <w:rFonts w:hint="eastAsia" w:ascii="仿宋" w:hAnsi="仿宋" w:eastAsia="仿宋" w:cs="仿宋"/>
                <w:color w:val="auto"/>
                <w:kern w:val="2"/>
                <w:sz w:val="21"/>
                <w:szCs w:val="21"/>
                <w:lang w:eastAsia="zh-CN" w:bidi="ar-SA"/>
              </w:rPr>
            </w:pPr>
            <w:r>
              <w:rPr>
                <w:rFonts w:hint="eastAsia" w:ascii="仿宋" w:hAnsi="仿宋" w:eastAsia="仿宋" w:cs="仿宋"/>
                <w:color w:val="auto"/>
                <w:sz w:val="21"/>
                <w:szCs w:val="21"/>
                <w:lang w:eastAsia="zh-CN"/>
              </w:rPr>
              <w:t>9</w:t>
            </w:r>
          </w:p>
        </w:tc>
        <w:tc>
          <w:tcPr>
            <w:tcW w:w="2333"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获得专利（发明专利或实用新型专利）以及与工程咨询管理（包括勘察设计、监理等工程咨询工作）有关的专利（发明专利或实用新型专利）</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加2分</w:t>
            </w:r>
          </w:p>
        </w:tc>
        <w:tc>
          <w:tcPr>
            <w:tcW w:w="818"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c>
          <w:tcPr>
            <w:tcW w:w="732"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886" w:type="dxa"/>
            <w:gridSpan w:val="2"/>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jc w:val="center"/>
              <w:rPr>
                <w:rFonts w:hint="eastAsia" w:ascii="仿宋" w:hAnsi="仿宋" w:eastAsia="仿宋" w:cs="仿宋"/>
                <w:sz w:val="21"/>
                <w:szCs w:val="21"/>
              </w:rPr>
            </w:pPr>
            <w:r>
              <w:rPr>
                <w:rFonts w:hint="eastAsia" w:ascii="仿宋" w:hAnsi="仿宋" w:eastAsia="仿宋" w:cs="仿宋"/>
                <w:sz w:val="21"/>
                <w:szCs w:val="21"/>
              </w:rPr>
              <w:t>合计</w:t>
            </w:r>
          </w:p>
        </w:tc>
        <w:tc>
          <w:tcPr>
            <w:tcW w:w="4854" w:type="dxa"/>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11"/>
              <w:rPr>
                <w:rFonts w:hint="eastAsia" w:ascii="仿宋" w:hAnsi="仿宋" w:eastAsia="仿宋" w:cs="仿宋"/>
                <w:sz w:val="21"/>
                <w:szCs w:val="21"/>
              </w:rPr>
            </w:pPr>
          </w:p>
        </w:tc>
        <w:tc>
          <w:tcPr>
            <w:tcW w:w="1550" w:type="dxa"/>
            <w:gridSpan w:val="2"/>
            <w:tcBorders>
              <w:top w:val="single" w:color="000000" w:sz="8" w:space="0"/>
              <w:left w:val="single" w:color="000000" w:sz="8" w:space="0"/>
              <w:bottom w:val="single" w:color="000000" w:sz="8" w:space="0"/>
              <w:right w:val="single" w:color="000000" w:sz="8" w:space="0"/>
            </w:tcBorders>
            <w:shd w:val="clear" w:color="auto" w:fill="FFFFFF"/>
            <w:noWrap/>
            <w:vAlign w:val="center"/>
          </w:tcPr>
          <w:p>
            <w:pPr>
              <w:spacing w:line="260" w:lineRule="exact"/>
              <w:rPr>
                <w:rFonts w:hint="eastAsia" w:ascii="仿宋" w:hAnsi="仿宋" w:eastAsia="仿宋" w:cs="仿宋"/>
                <w:color w:val="auto"/>
                <w:sz w:val="21"/>
                <w:szCs w:val="21"/>
                <w:lang w:eastAsia="zh-CN"/>
              </w:rPr>
            </w:pPr>
          </w:p>
        </w:tc>
      </w:tr>
    </w:tbl>
    <w:p>
      <w:pPr>
        <w:rPr>
          <w:rFonts w:hint="eastAsia" w:ascii="仿宋" w:hAnsi="仿宋" w:eastAsia="仿宋" w:cs="仿宋"/>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26AEA"/>
    <w:rsid w:val="004D0E2A"/>
    <w:rsid w:val="00C26AEA"/>
    <w:rsid w:val="1A830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kern w:val="0"/>
      <w:sz w:val="24"/>
      <w:szCs w:val="24"/>
      <w:lang w:val="en-US" w:eastAsia="en-US" w:bidi="en-US"/>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4"/>
    <w:semiHidden/>
    <w:unhideWhenUsed/>
    <w:uiPriority w:val="99"/>
    <w:pPr>
      <w:ind w:firstLine="420" w:firstLineChars="200"/>
    </w:pPr>
  </w:style>
  <w:style w:type="paragraph" w:styleId="3">
    <w:name w:val="Body Text Indent"/>
    <w:basedOn w:val="1"/>
    <w:link w:val="13"/>
    <w:semiHidden/>
    <w:unhideWhenUsed/>
    <w:qFormat/>
    <w:uiPriority w:val="99"/>
    <w:pPr>
      <w:spacing w:after="120"/>
      <w:ind w:left="420" w:leftChars="200"/>
    </w:pPr>
  </w:style>
  <w:style w:type="paragraph" w:styleId="4">
    <w:name w:val="footer"/>
    <w:basedOn w:val="1"/>
    <w:link w:val="9"/>
    <w:semiHidden/>
    <w:unhideWhenUsed/>
    <w:uiPriority w:val="99"/>
    <w:pPr>
      <w:tabs>
        <w:tab w:val="center" w:pos="4153"/>
        <w:tab w:val="right" w:pos="8306"/>
      </w:tabs>
      <w:snapToGrid w:val="0"/>
    </w:pPr>
    <w:rPr>
      <w:rFonts w:asciiTheme="minorHAnsi" w:hAnsiTheme="minorHAnsi" w:eastAsiaTheme="minorEastAsia" w:cstheme="minorBidi"/>
      <w:color w:val="auto"/>
      <w:kern w:val="2"/>
      <w:sz w:val="18"/>
      <w:szCs w:val="18"/>
      <w:lang w:eastAsia="zh-CN" w:bidi="ar-SA"/>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lang w:eastAsia="zh-CN" w:bidi="ar-SA"/>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paragraph" w:customStyle="1" w:styleId="10">
    <w:name w:val="列出段落112"/>
    <w:basedOn w:val="1"/>
    <w:qFormat/>
    <w:uiPriority w:val="99"/>
    <w:pPr>
      <w:ind w:firstLine="420" w:firstLineChars="200"/>
    </w:pPr>
  </w:style>
  <w:style w:type="paragraph" w:customStyle="1" w:styleId="11">
    <w:name w:val="Normal_1"/>
    <w:qFormat/>
    <w:uiPriority w:val="0"/>
    <w:rPr>
      <w:rFonts w:ascii="Calibri" w:hAnsi="Calibri" w:eastAsia="Times New Roman" w:cs="Times New Roman"/>
      <w:kern w:val="0"/>
      <w:sz w:val="24"/>
      <w:szCs w:val="24"/>
      <w:lang w:val="en-US" w:eastAsia="zh-CN" w:bidi="ar-SA"/>
    </w:rPr>
  </w:style>
  <w:style w:type="paragraph" w:customStyle="1" w:styleId="12">
    <w:name w:val="Normal_1282"/>
    <w:qFormat/>
    <w:uiPriority w:val="0"/>
    <w:rPr>
      <w:rFonts w:ascii="Times New Roman" w:hAnsi="Times New Roman" w:eastAsia="Times New Roman" w:cs="Times New Roman"/>
      <w:kern w:val="0"/>
      <w:sz w:val="24"/>
      <w:szCs w:val="24"/>
      <w:lang w:val="en-US" w:eastAsia="zh-CN" w:bidi="ar-SA"/>
    </w:rPr>
  </w:style>
  <w:style w:type="character" w:customStyle="1" w:styleId="13">
    <w:name w:val="正文文本缩进 Char"/>
    <w:basedOn w:val="7"/>
    <w:link w:val="3"/>
    <w:semiHidden/>
    <w:qFormat/>
    <w:uiPriority w:val="99"/>
    <w:rPr>
      <w:rFonts w:ascii="Times New Roman" w:hAnsi="Times New Roman" w:eastAsia="Times New Roman" w:cs="Times New Roman"/>
      <w:color w:val="000000"/>
      <w:kern w:val="0"/>
      <w:sz w:val="24"/>
      <w:szCs w:val="24"/>
      <w:lang w:eastAsia="en-US" w:bidi="en-US"/>
    </w:rPr>
  </w:style>
  <w:style w:type="character" w:customStyle="1" w:styleId="14">
    <w:name w:val="正文首行缩进 2 Char"/>
    <w:basedOn w:val="13"/>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332</Words>
  <Characters>1897</Characters>
  <Lines>15</Lines>
  <Paragraphs>4</Paragraphs>
  <TotalTime>0</TotalTime>
  <ScaleCrop>false</ScaleCrop>
  <LinksUpToDate>false</LinksUpToDate>
  <CharactersWithSpaces>2225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2021-01-08T08:26:00Z</dcterms:created>
  <dc:creator>PC</dc:creator>
  <cp:lastModifiedBy>残墨 、败笔</cp:lastModifiedBy>
  <dcterms:modified xsi:type="dcterms:W3CDTF">2021-01-08T08:40:57Z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